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F3881" w14:textId="77777777" w:rsidR="005E673D" w:rsidRPr="005E673D" w:rsidRDefault="005E673D" w:rsidP="005E673D">
      <w:pPr>
        <w:pStyle w:val="ListParagraph"/>
        <w:ind w:left="360"/>
        <w:rPr>
          <w:sz w:val="22"/>
          <w:szCs w:val="22"/>
        </w:rPr>
      </w:pPr>
    </w:p>
    <w:p w14:paraId="4D33A39C" w14:textId="77777777" w:rsidR="004428C2" w:rsidRPr="00CA63B9" w:rsidRDefault="004428C2" w:rsidP="004428C2">
      <w:pPr>
        <w:rPr>
          <w:b/>
          <w:sz w:val="22"/>
          <w:szCs w:val="22"/>
        </w:rPr>
      </w:pPr>
      <w:r w:rsidRPr="00CA63B9">
        <w:rPr>
          <w:b/>
        </w:rPr>
        <w:t>FIRE SPRINKLER SYSTEMS, CORROSION MITIGATION PROGRAM, DRY OR PREACTION</w:t>
      </w:r>
    </w:p>
    <w:p w14:paraId="511877CE" w14:textId="77777777" w:rsidR="004428C2" w:rsidRDefault="004428C2" w:rsidP="004428C2">
      <w:pPr>
        <w:tabs>
          <w:tab w:val="left" w:pos="9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2B8F566" w14:textId="77777777" w:rsidR="004428C2" w:rsidRPr="00D3046A" w:rsidRDefault="004428C2" w:rsidP="004428C2">
      <w:pPr>
        <w:tabs>
          <w:tab w:val="left" w:pos="950"/>
        </w:tabs>
        <w:rPr>
          <w:sz w:val="20"/>
          <w:szCs w:val="20"/>
        </w:rPr>
      </w:pPr>
    </w:p>
    <w:p w14:paraId="7CAB228B" w14:textId="77777777" w:rsidR="004428C2" w:rsidRPr="00CA63B9" w:rsidRDefault="004428C2" w:rsidP="004428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NITROGEN GENERATION SYSTEM</w:t>
      </w:r>
    </w:p>
    <w:p w14:paraId="4C591C31" w14:textId="77777777" w:rsidR="004428C2" w:rsidRPr="00CA63B9" w:rsidRDefault="004428C2" w:rsidP="004428C2"/>
    <w:p w14:paraId="119B5AA5" w14:textId="05818DDD" w:rsidR="004428C2" w:rsidRPr="00CA63B9" w:rsidRDefault="004428C2" w:rsidP="004428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Potter </w:t>
      </w:r>
      <w:proofErr w:type="spellStart"/>
      <w:r w:rsidRPr="00CA63B9">
        <w:rPr>
          <w:rFonts w:ascii="Times New Roman" w:hAnsi="Times New Roman" w:cs="Times New Roman"/>
          <w:sz w:val="24"/>
          <w:szCs w:val="24"/>
        </w:rPr>
        <w:t>IntelliGen</w:t>
      </w:r>
      <w:proofErr w:type="spellEnd"/>
      <w:r w:rsidR="00FB24A3">
        <w:rPr>
          <w:rFonts w:ascii="Times New Roman" w:hAnsi="Times New Roman" w:cs="Times New Roman"/>
          <w:sz w:val="24"/>
          <w:szCs w:val="24"/>
        </w:rPr>
        <w:t>™</w:t>
      </w:r>
      <w:r w:rsidRPr="00CA63B9">
        <w:rPr>
          <w:rFonts w:ascii="Times New Roman" w:hAnsi="Times New Roman" w:cs="Times New Roman"/>
          <w:sz w:val="24"/>
          <w:szCs w:val="24"/>
        </w:rPr>
        <w:t xml:space="preserve"> Nitrogen Generator (INS Series)</w:t>
      </w:r>
    </w:p>
    <w:p w14:paraId="0FF1336D" w14:textId="77777777" w:rsidR="004428C2" w:rsidRPr="00CA63B9" w:rsidRDefault="004428C2" w:rsidP="004428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34E9B04" w14:textId="77777777" w:rsidR="004428C2" w:rsidRPr="00CA63B9" w:rsidRDefault="004428C2" w:rsidP="004428C2">
      <w:pPr>
        <w:pStyle w:val="ListParagraph"/>
        <w:numPr>
          <w:ilvl w:val="0"/>
          <w:numId w:val="1"/>
        </w:numPr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Furnish and install a nitrogen generator system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CA63B9">
        <w:rPr>
          <w:rFonts w:ascii="Times New Roman" w:hAnsi="Times New Roman" w:cs="Times New Roman"/>
          <w:sz w:val="24"/>
          <w:szCs w:val="24"/>
        </w:rPr>
        <w:t xml:space="preserve"> each fire sprinkler riser room to service all dry/pre-action zones as required by the system size and pressure requiremen</w:t>
      </w:r>
      <w:r>
        <w:rPr>
          <w:rFonts w:ascii="Times New Roman" w:hAnsi="Times New Roman" w:cs="Times New Roman"/>
          <w:sz w:val="24"/>
          <w:szCs w:val="24"/>
        </w:rPr>
        <w:t>t stipulated in the engineering drawings.</w:t>
      </w:r>
      <w:r w:rsidRPr="00CA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Install</w:t>
      </w:r>
      <w:r w:rsidRPr="00CA63B9">
        <w:rPr>
          <w:rFonts w:ascii="Times New Roman" w:hAnsi="Times New Roman" w:cs="Times New Roman"/>
          <w:sz w:val="24"/>
          <w:szCs w:val="24"/>
        </w:rPr>
        <w:t xml:space="preserve"> per manufacturer's instructions. </w:t>
      </w:r>
    </w:p>
    <w:p w14:paraId="699DA7B1" w14:textId="239F06C1" w:rsidR="004428C2" w:rsidRPr="00CA63B9" w:rsidRDefault="004428C2" w:rsidP="004428C2">
      <w:pPr>
        <w:pStyle w:val="ListParagraph"/>
        <w:numPr>
          <w:ilvl w:val="0"/>
          <w:numId w:val="1"/>
        </w:numPr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nitrogen generator shall have an air compressor</w:t>
      </w:r>
      <w:r w:rsidR="00FB24A3">
        <w:rPr>
          <w:rFonts w:ascii="Times New Roman" w:hAnsi="Times New Roman" w:cs="Times New Roman"/>
          <w:sz w:val="24"/>
          <w:szCs w:val="24"/>
        </w:rPr>
        <w:t xml:space="preserve"> system</w:t>
      </w:r>
      <w:r w:rsidRPr="00CA63B9">
        <w:rPr>
          <w:rFonts w:ascii="Times New Roman" w:hAnsi="Times New Roman" w:cs="Times New Roman"/>
          <w:sz w:val="24"/>
          <w:szCs w:val="24"/>
        </w:rPr>
        <w:t xml:space="preserve"> that is sized appropriately for the application and capable of achieving system supervisory pressure within 30 minutes in accordance with requirements of NFPA 13. </w:t>
      </w:r>
      <w:r w:rsidR="009C419C">
        <w:rPr>
          <w:rFonts w:ascii="Times New Roman" w:hAnsi="Times New Roman" w:cs="Times New Roman"/>
          <w:sz w:val="24"/>
          <w:szCs w:val="24"/>
        </w:rPr>
        <w:t>The air compressor system may include an external compressor.</w:t>
      </w:r>
    </w:p>
    <w:p w14:paraId="603716D4" w14:textId="77777777" w:rsidR="004428C2" w:rsidRPr="00CA63B9" w:rsidRDefault="004428C2" w:rsidP="004428C2">
      <w:pPr>
        <w:pStyle w:val="ListParagraph"/>
        <w:numPr>
          <w:ilvl w:val="0"/>
          <w:numId w:val="1"/>
        </w:numPr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The nitrogen generator shall provide a minimum of 98% purity nitrogen to the fire sprinkler system. </w:t>
      </w:r>
    </w:p>
    <w:p w14:paraId="3C73A193" w14:textId="77777777" w:rsidR="004428C2" w:rsidRPr="00CA63B9" w:rsidRDefault="004428C2" w:rsidP="004428C2">
      <w:pPr>
        <w:pStyle w:val="ListParagraph"/>
        <w:numPr>
          <w:ilvl w:val="0"/>
          <w:numId w:val="1"/>
        </w:numPr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nitrogen generator shall be equipped with a filtration system to remove residual water and all hydrocarbons f</w:t>
      </w:r>
      <w:r>
        <w:rPr>
          <w:rFonts w:ascii="Times New Roman" w:hAnsi="Times New Roman" w:cs="Times New Roman"/>
          <w:sz w:val="24"/>
          <w:szCs w:val="24"/>
        </w:rPr>
        <w:t>ro</w:t>
      </w:r>
      <w:r w:rsidRPr="00CA63B9">
        <w:rPr>
          <w:rFonts w:ascii="Times New Roman" w:hAnsi="Times New Roman" w:cs="Times New Roman"/>
          <w:sz w:val="24"/>
          <w:szCs w:val="24"/>
        </w:rPr>
        <w:t xml:space="preserve">m the air stream.  </w:t>
      </w:r>
    </w:p>
    <w:p w14:paraId="3B0A6715" w14:textId="77777777" w:rsidR="004428C2" w:rsidRPr="00CA63B9" w:rsidRDefault="004428C2" w:rsidP="004428C2">
      <w:pPr>
        <w:pStyle w:val="ListParagraph"/>
        <w:numPr>
          <w:ilvl w:val="0"/>
          <w:numId w:val="1"/>
        </w:numPr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nitrogen generator shall have a nitrogen control panel capable of monitoring compressor runtimes,</w:t>
      </w:r>
      <w:r>
        <w:rPr>
          <w:rFonts w:ascii="Times New Roman" w:hAnsi="Times New Roman" w:cs="Times New Roman"/>
          <w:sz w:val="24"/>
          <w:szCs w:val="24"/>
        </w:rPr>
        <w:t xml:space="preserve"> nitrogen</w:t>
      </w:r>
      <w:r w:rsidRPr="00CA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generator pressure, as well as its operational mode locally and via</w:t>
      </w:r>
      <w:r w:rsidRPr="00CA63B9">
        <w:rPr>
          <w:rFonts w:ascii="Times New Roman" w:hAnsi="Times New Roman" w:cs="Times New Roman"/>
          <w:sz w:val="24"/>
          <w:szCs w:val="24"/>
        </w:rPr>
        <w:t xml:space="preserve"> the internet. </w:t>
      </w:r>
    </w:p>
    <w:p w14:paraId="192172F0" w14:textId="77777777" w:rsidR="004428C2" w:rsidRDefault="004428C2" w:rsidP="004428C2">
      <w:pPr>
        <w:pStyle w:val="ListParagraph"/>
        <w:numPr>
          <w:ilvl w:val="0"/>
          <w:numId w:val="1"/>
        </w:numPr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The nitrogen generator shall have a leak detection system capable of determining </w:t>
      </w:r>
      <w:r>
        <w:rPr>
          <w:rFonts w:ascii="Times New Roman" w:hAnsi="Times New Roman" w:cs="Times New Roman"/>
          <w:sz w:val="24"/>
          <w:szCs w:val="24"/>
        </w:rPr>
        <w:t>sprinkler system leak rates, giving alerts if</w:t>
      </w:r>
      <w:r w:rsidRPr="00CA63B9">
        <w:rPr>
          <w:rFonts w:ascii="Times New Roman" w:hAnsi="Times New Roman" w:cs="Times New Roman"/>
          <w:sz w:val="24"/>
          <w:szCs w:val="24"/>
        </w:rPr>
        <w:t xml:space="preserve"> leaks develop within the sprinkler piping, nitrogen generator system or air compressor. </w:t>
      </w:r>
    </w:p>
    <w:p w14:paraId="334320A7" w14:textId="01791A99" w:rsidR="004428C2" w:rsidRPr="00CA63B9" w:rsidRDefault="00A920B3" w:rsidP="004428C2">
      <w:pPr>
        <w:pStyle w:val="ListParagraph"/>
        <w:numPr>
          <w:ilvl w:val="0"/>
          <w:numId w:val="1"/>
        </w:numPr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nitrogen generator shall be able to indicate trouble alerts: locally via nitrogen control panel, via BMS trouble alert relay, via internet, and via email.</w:t>
      </w:r>
    </w:p>
    <w:p w14:paraId="31487ABD" w14:textId="37AC726F" w:rsidR="004428C2" w:rsidRPr="00CA63B9" w:rsidRDefault="004428C2" w:rsidP="004428C2">
      <w:pPr>
        <w:pStyle w:val="ListParagraph"/>
        <w:numPr>
          <w:ilvl w:val="0"/>
          <w:numId w:val="1"/>
        </w:numPr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nitrogen generator system shall automatically switch between air bypass mode and nitrogen generating mode based on the demands of the sprinkler system.</w:t>
      </w:r>
    </w:p>
    <w:p w14:paraId="449976DB" w14:textId="77777777" w:rsidR="004428C2" w:rsidRPr="00820D19" w:rsidRDefault="004428C2" w:rsidP="004428C2">
      <w:pPr>
        <w:pStyle w:val="ListParagraph"/>
        <w:numPr>
          <w:ilvl w:val="0"/>
          <w:numId w:val="1"/>
        </w:numPr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n</w:t>
      </w:r>
      <w:r>
        <w:rPr>
          <w:rFonts w:ascii="Times New Roman" w:hAnsi="Times New Roman" w:cs="Times New Roman"/>
          <w:sz w:val="24"/>
          <w:szCs w:val="24"/>
        </w:rPr>
        <w:t>itrogen generator shall have a nitrogen storage tank that conforms</w:t>
      </w:r>
      <w:r w:rsidRPr="00CA63B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A63B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ME standard for pressure vessels.</w:t>
      </w:r>
    </w:p>
    <w:p w14:paraId="4E71935D" w14:textId="77777777" w:rsidR="004428C2" w:rsidRPr="00CA63B9" w:rsidRDefault="004428C2" w:rsidP="004428C2">
      <w:pPr>
        <w:pStyle w:val="ListParagraph"/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62F2E86" w14:textId="4F532557" w:rsidR="004428C2" w:rsidRPr="00CA63B9" w:rsidRDefault="004428C2" w:rsidP="004428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Potter </w:t>
      </w:r>
      <w:proofErr w:type="spellStart"/>
      <w:r w:rsidRPr="00CA63B9">
        <w:rPr>
          <w:rFonts w:ascii="Times New Roman" w:hAnsi="Times New Roman" w:cs="Times New Roman"/>
          <w:sz w:val="24"/>
          <w:szCs w:val="24"/>
        </w:rPr>
        <w:t>IntelliPurge</w:t>
      </w:r>
      <w:proofErr w:type="spellEnd"/>
      <w:r w:rsidR="00A920B3">
        <w:rPr>
          <w:rFonts w:ascii="Times New Roman" w:hAnsi="Times New Roman" w:cs="Times New Roman"/>
          <w:sz w:val="24"/>
          <w:szCs w:val="24"/>
        </w:rPr>
        <w:t>™</w:t>
      </w:r>
      <w:r w:rsidRPr="00CA63B9">
        <w:rPr>
          <w:rFonts w:ascii="Times New Roman" w:hAnsi="Times New Roman" w:cs="Times New Roman"/>
          <w:sz w:val="24"/>
          <w:szCs w:val="24"/>
        </w:rPr>
        <w:t xml:space="preserve"> Nitrogen Purge Valve (INS-PV)</w:t>
      </w:r>
    </w:p>
    <w:p w14:paraId="0B18BF6C" w14:textId="77777777" w:rsidR="004428C2" w:rsidRPr="00CA63B9" w:rsidRDefault="004428C2" w:rsidP="004428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F7445B6" w14:textId="6DAED557" w:rsidR="004428C2" w:rsidRPr="00CA63B9" w:rsidRDefault="004428C2" w:rsidP="004428C2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Furnish and install a nitrogen purge valve at the furthest point from the fire sprinkler riser for each fire sprinkler </w:t>
      </w:r>
      <w:r w:rsidR="00A920B3">
        <w:rPr>
          <w:rFonts w:ascii="Times New Roman" w:hAnsi="Times New Roman" w:cs="Times New Roman"/>
          <w:sz w:val="24"/>
          <w:szCs w:val="24"/>
        </w:rPr>
        <w:t>system</w:t>
      </w:r>
      <w:r w:rsidRPr="00CA63B9">
        <w:rPr>
          <w:rFonts w:ascii="Times New Roman" w:hAnsi="Times New Roman" w:cs="Times New Roman"/>
          <w:sz w:val="24"/>
          <w:szCs w:val="24"/>
        </w:rPr>
        <w:t>.</w:t>
      </w:r>
    </w:p>
    <w:p w14:paraId="3AA328CA" w14:textId="77777777" w:rsidR="004428C2" w:rsidRPr="00CA63B9" w:rsidRDefault="004428C2" w:rsidP="004428C2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nitrogen purge valve</w:t>
      </w:r>
      <w:r>
        <w:rPr>
          <w:rFonts w:ascii="Times New Roman" w:hAnsi="Times New Roman" w:cs="Times New Roman"/>
          <w:sz w:val="24"/>
          <w:szCs w:val="24"/>
        </w:rPr>
        <w:t xml:space="preserve"> shall</w:t>
      </w:r>
      <w:r w:rsidRPr="00CA63B9">
        <w:rPr>
          <w:rFonts w:ascii="Times New Roman" w:hAnsi="Times New Roman" w:cs="Times New Roman"/>
          <w:sz w:val="24"/>
          <w:szCs w:val="24"/>
        </w:rPr>
        <w:t xml:space="preserve"> be supplied with a restricted orifice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size</w:t>
      </w:r>
      <w:r w:rsidRPr="00CA63B9">
        <w:rPr>
          <w:rFonts w:ascii="Times New Roman" w:hAnsi="Times New Roman" w:cs="Times New Roman"/>
          <w:sz w:val="24"/>
          <w:szCs w:val="24"/>
        </w:rPr>
        <w:t xml:space="preserve"> determined by the total system pressure requirements. </w:t>
      </w:r>
    </w:p>
    <w:p w14:paraId="2060A6C6" w14:textId="77777777" w:rsidR="004428C2" w:rsidRPr="00CA63B9" w:rsidRDefault="004428C2" w:rsidP="004428C2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The nitrogen purge valve shall have a nitrogen sensor that can shut off the purge valve after 98% nitrogen has been achieved throughout the fire sprinkler system. </w:t>
      </w:r>
    </w:p>
    <w:p w14:paraId="36EAC828" w14:textId="77777777" w:rsidR="004428C2" w:rsidRPr="00CA63B9" w:rsidRDefault="004428C2" w:rsidP="004428C2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The nitrogen purge valve shall monitor the nitrogen level in the fire protection system periodically. </w:t>
      </w:r>
    </w:p>
    <w:p w14:paraId="680D7248" w14:textId="673B5800" w:rsidR="004428C2" w:rsidRPr="00CA63B9" w:rsidRDefault="004428C2" w:rsidP="004428C2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The nitrogen purge valve shall have a BMS </w:t>
      </w:r>
      <w:r w:rsidR="006D7126">
        <w:rPr>
          <w:rFonts w:ascii="Times New Roman" w:hAnsi="Times New Roman" w:cs="Times New Roman"/>
          <w:sz w:val="24"/>
          <w:szCs w:val="24"/>
        </w:rPr>
        <w:t>trouble alert</w:t>
      </w:r>
      <w:r w:rsidR="006D7126" w:rsidRPr="00CA63B9">
        <w:rPr>
          <w:rFonts w:ascii="Times New Roman" w:hAnsi="Times New Roman" w:cs="Times New Roman"/>
          <w:sz w:val="24"/>
          <w:szCs w:val="24"/>
        </w:rPr>
        <w:t xml:space="preserve"> </w:t>
      </w:r>
      <w:r w:rsidRPr="00CA63B9">
        <w:rPr>
          <w:rFonts w:ascii="Times New Roman" w:hAnsi="Times New Roman" w:cs="Times New Roman"/>
          <w:sz w:val="24"/>
          <w:szCs w:val="24"/>
        </w:rPr>
        <w:t>relay to indicate trouble if nitrogen p</w:t>
      </w:r>
      <w:r>
        <w:rPr>
          <w:rFonts w:ascii="Times New Roman" w:hAnsi="Times New Roman" w:cs="Times New Roman"/>
          <w:sz w:val="24"/>
          <w:szCs w:val="24"/>
        </w:rPr>
        <w:t>urity drops below desired levels</w:t>
      </w:r>
      <w:r w:rsidRPr="00CA63B9">
        <w:rPr>
          <w:rFonts w:ascii="Times New Roman" w:hAnsi="Times New Roman" w:cs="Times New Roman"/>
          <w:sz w:val="24"/>
          <w:szCs w:val="24"/>
        </w:rPr>
        <w:t>.</w:t>
      </w:r>
    </w:p>
    <w:p w14:paraId="66E6267F" w14:textId="77777777" w:rsidR="004428C2" w:rsidRPr="00CA63B9" w:rsidRDefault="004428C2" w:rsidP="004428C2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nitrogen purge valve shall be able to connect to a nitrogen generator for remote monitoring.</w:t>
      </w:r>
    </w:p>
    <w:p w14:paraId="265FB705" w14:textId="77777777" w:rsidR="004428C2" w:rsidRPr="00820D19" w:rsidRDefault="004428C2" w:rsidP="004428C2">
      <w:pPr>
        <w:spacing w:before="240" w:after="160" w:line="256" w:lineRule="auto"/>
        <w:ind w:left="1080"/>
      </w:pPr>
    </w:p>
    <w:p w14:paraId="40FD0F56" w14:textId="77777777" w:rsidR="004428C2" w:rsidRPr="00CA63B9" w:rsidRDefault="004428C2" w:rsidP="004428C2">
      <w:pPr>
        <w:pStyle w:val="ListParagraph"/>
        <w:numPr>
          <w:ilvl w:val="0"/>
          <w:numId w:val="2"/>
        </w:numPr>
        <w:spacing w:before="240" w:after="210" w:line="257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nitrogen purge val</w:t>
      </w:r>
      <w:r>
        <w:rPr>
          <w:rFonts w:ascii="Times New Roman" w:hAnsi="Times New Roman" w:cs="Times New Roman"/>
          <w:sz w:val="24"/>
          <w:szCs w:val="24"/>
        </w:rPr>
        <w:t>ve shall be able to network</w:t>
      </w:r>
      <w:r w:rsidRPr="00CA63B9">
        <w:rPr>
          <w:rFonts w:ascii="Times New Roman" w:hAnsi="Times New Roman" w:cs="Times New Roman"/>
          <w:sz w:val="24"/>
          <w:szCs w:val="24"/>
        </w:rPr>
        <w:t xml:space="preserve"> with other purge valves. </w:t>
      </w:r>
    </w:p>
    <w:p w14:paraId="47422BE3" w14:textId="77777777" w:rsidR="004428C2" w:rsidRPr="00CA63B9" w:rsidRDefault="004428C2" w:rsidP="004428C2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The nitrogen purge valve shall be closed during hydrostatic and air pressure testing </w:t>
      </w:r>
      <w:r>
        <w:rPr>
          <w:rFonts w:ascii="Times New Roman" w:hAnsi="Times New Roman" w:cs="Times New Roman"/>
          <w:sz w:val="24"/>
          <w:szCs w:val="24"/>
        </w:rPr>
        <w:t>of the fire sprinkler system,</w:t>
      </w:r>
      <w:r w:rsidRPr="00CA63B9">
        <w:rPr>
          <w:rFonts w:ascii="Times New Roman" w:hAnsi="Times New Roman" w:cs="Times New Roman"/>
          <w:sz w:val="24"/>
          <w:szCs w:val="24"/>
        </w:rPr>
        <w:t xml:space="preserve"> then placed in the open position for the commissioning, treatment and operation of the system. </w:t>
      </w:r>
    </w:p>
    <w:p w14:paraId="4F8FA47C" w14:textId="77777777" w:rsidR="004428C2" w:rsidRPr="00FA7D43" w:rsidRDefault="004428C2" w:rsidP="00FA7D43">
      <w:pPr>
        <w:spacing w:after="160" w:line="256" w:lineRule="auto"/>
      </w:pPr>
    </w:p>
    <w:p w14:paraId="54A608A8" w14:textId="54E9A53E" w:rsidR="004428C2" w:rsidRDefault="004428C2" w:rsidP="004428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Air Maintenance Device</w:t>
      </w:r>
    </w:p>
    <w:p w14:paraId="00A6E62F" w14:textId="77777777" w:rsidR="004428C2" w:rsidRPr="00CA63B9" w:rsidRDefault="004428C2" w:rsidP="004428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DD941B0" w14:textId="77777777" w:rsidR="004428C2" w:rsidRPr="00CA63B9" w:rsidRDefault="004428C2" w:rsidP="004428C2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Furnish and install an Air Maintenance Device for each dry or preaction fire sprinkler system.</w:t>
      </w:r>
    </w:p>
    <w:p w14:paraId="32B9C1A6" w14:textId="77777777" w:rsidR="004428C2" w:rsidRPr="00CA63B9" w:rsidRDefault="004428C2" w:rsidP="004428C2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A63B9">
        <w:rPr>
          <w:rFonts w:ascii="Times New Roman" w:hAnsi="Times New Roman" w:cs="Times New Roman"/>
          <w:sz w:val="24"/>
          <w:szCs w:val="24"/>
        </w:rPr>
        <w:t xml:space="preserve">Air Maintenance Device shall be equipped with an adjustable pressure regulator that </w:t>
      </w:r>
      <w:proofErr w:type="gramStart"/>
      <w:r w:rsidRPr="00CA63B9">
        <w:rPr>
          <w:rFonts w:ascii="Times New Roman" w:hAnsi="Times New Roman" w:cs="Times New Roman"/>
          <w:sz w:val="24"/>
          <w:szCs w:val="24"/>
        </w:rPr>
        <w:t>is capable of setting</w:t>
      </w:r>
      <w:proofErr w:type="gramEnd"/>
      <w:r w:rsidRPr="00CA63B9">
        <w:rPr>
          <w:rFonts w:ascii="Times New Roman" w:hAnsi="Times New Roman" w:cs="Times New Roman"/>
          <w:sz w:val="24"/>
          <w:szCs w:val="24"/>
        </w:rPr>
        <w:t xml:space="preserve"> the required pressure for the fire sprinkler system.</w:t>
      </w:r>
    </w:p>
    <w:p w14:paraId="1B46D1F0" w14:textId="77777777" w:rsidR="004428C2" w:rsidRPr="00CA63B9" w:rsidRDefault="004428C2" w:rsidP="004428C2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Air Maintenance Device shall be listed or approved for fire sprinkler application.</w:t>
      </w:r>
    </w:p>
    <w:p w14:paraId="06F0B11B" w14:textId="77777777" w:rsidR="004428C2" w:rsidRDefault="004428C2" w:rsidP="004428C2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>The Air Maintenance Device shall be installed per manufacturer’s specifications</w:t>
      </w:r>
    </w:p>
    <w:p w14:paraId="5AC70A86" w14:textId="77777777" w:rsidR="004428C2" w:rsidRPr="00CA63B9" w:rsidRDefault="004428C2" w:rsidP="004428C2">
      <w:pPr>
        <w:pStyle w:val="ListParagraph"/>
        <w:spacing w:after="16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E1B0E50" w14:textId="2059D8EF" w:rsidR="00A671FE" w:rsidRDefault="00A671FE" w:rsidP="00A671F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Networking and Interconnections</w:t>
      </w:r>
      <w:r w:rsidR="00AB233C">
        <w:rPr>
          <w:rFonts w:ascii="Times New Roman" w:hAnsi="Times New Roman" w:cs="Times New Roman"/>
          <w:sz w:val="24"/>
          <w:szCs w:val="24"/>
        </w:rPr>
        <w:t xml:space="preserve"> (Preferred option)</w:t>
      </w:r>
    </w:p>
    <w:p w14:paraId="2F00EA21" w14:textId="77777777" w:rsidR="00A671FE" w:rsidRDefault="00A671FE" w:rsidP="00A671FE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 and install networking wiring per manufacturer instructions from INS Series nitrogen generator to the nearest INS-PV nitrogen purge valve. Connect remaining INS-PV nitrogen purge valves in a daisy chain manner.</w:t>
      </w:r>
    </w:p>
    <w:p w14:paraId="5122D060" w14:textId="77777777" w:rsidR="00A671FE" w:rsidRDefault="00A671FE" w:rsidP="00A671FE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CAT 5 internet wiring to INS nitrogen control panel and register INS Series nitrogen generator per manufacturer instructions.</w:t>
      </w:r>
    </w:p>
    <w:p w14:paraId="3FA0CB4A" w14:textId="56B175C5" w:rsidR="00A671FE" w:rsidRDefault="000C7696" w:rsidP="00A671FE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Optionally c</w:t>
      </w:r>
      <w:r w:rsidR="00A671FE">
        <w:rPr>
          <w:rFonts w:ascii="Times New Roman" w:hAnsi="Times New Roman" w:cs="Times New Roman"/>
          <w:sz w:val="24"/>
          <w:szCs w:val="24"/>
        </w:rPr>
        <w:t>onnect BMS trouble alert relay</w:t>
      </w:r>
      <w:r w:rsidR="00AB233C">
        <w:rPr>
          <w:rFonts w:ascii="Times New Roman" w:hAnsi="Times New Roman" w:cs="Times New Roman"/>
          <w:sz w:val="24"/>
          <w:szCs w:val="24"/>
        </w:rPr>
        <w:t xml:space="preserve"> in INS Series nitrogen generator</w:t>
      </w:r>
      <w:r w:rsidR="00A671FE">
        <w:rPr>
          <w:rFonts w:ascii="Times New Roman" w:hAnsi="Times New Roman" w:cs="Times New Roman"/>
          <w:sz w:val="24"/>
          <w:szCs w:val="24"/>
        </w:rPr>
        <w:t xml:space="preserve"> to building management system or trouble zone of fire panel.</w:t>
      </w:r>
    </w:p>
    <w:p w14:paraId="766F1CBD" w14:textId="77777777" w:rsidR="00AB233C" w:rsidRPr="00AB233C" w:rsidRDefault="00AB233C" w:rsidP="00AB233C">
      <w:pPr>
        <w:spacing w:line="256" w:lineRule="auto"/>
        <w:ind w:left="1080"/>
      </w:pPr>
    </w:p>
    <w:p w14:paraId="446ACC9D" w14:textId="65AF62E3" w:rsidR="000C7696" w:rsidRDefault="000C7696" w:rsidP="000C76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Networking and Interconnections (Alternate option 1)</w:t>
      </w:r>
    </w:p>
    <w:p w14:paraId="503886C4" w14:textId="77777777" w:rsidR="000C7696" w:rsidRDefault="000C7696" w:rsidP="000C7696">
      <w:pPr>
        <w:pStyle w:val="ListParagraph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 and install networking wiring per manufacturer instructions from INS Series nitrogen generator to the nearest INS-PV nitrogen purge valve. Connect remaining INS-PV nitrogen purge valves in a daisy chain manner.</w:t>
      </w:r>
    </w:p>
    <w:p w14:paraId="3E4569C5" w14:textId="77777777" w:rsidR="000C7696" w:rsidRDefault="000C7696" w:rsidP="000C7696">
      <w:pPr>
        <w:pStyle w:val="ListParagraph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BMS trouble alert relay in INS Series nitrogen generator to building management system or trouble zone of fire panel.</w:t>
      </w:r>
    </w:p>
    <w:p w14:paraId="2396DDFA" w14:textId="52A20CEE" w:rsidR="000C7696" w:rsidRDefault="000C7696" w:rsidP="000C7696">
      <w:pPr>
        <w:pStyle w:val="ListParagraph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Optionally connect CAT 5 internet wiring to INS nitrogen control panel and register INS Series nitrogen generator per manufacturer instructions.</w:t>
      </w:r>
    </w:p>
    <w:p w14:paraId="28D006BE" w14:textId="77777777" w:rsidR="000C7696" w:rsidRPr="00AB233C" w:rsidRDefault="000C7696" w:rsidP="000C7696">
      <w:pPr>
        <w:spacing w:line="256" w:lineRule="auto"/>
        <w:ind w:left="1080"/>
      </w:pPr>
    </w:p>
    <w:p w14:paraId="61D3BA10" w14:textId="245D9E93" w:rsidR="000C7696" w:rsidRDefault="000C7696" w:rsidP="000C76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Networking and Interconnections (Alternate option 2)</w:t>
      </w:r>
    </w:p>
    <w:p w14:paraId="31785390" w14:textId="77777777" w:rsidR="00546B5A" w:rsidRDefault="00546B5A" w:rsidP="00546B5A">
      <w:pPr>
        <w:pStyle w:val="ListParagraph"/>
        <w:numPr>
          <w:ilvl w:val="0"/>
          <w:numId w:val="1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BMS trouble alert relay in INS Series nitrogen generator to building management system or trouble zone of fire panel.</w:t>
      </w:r>
    </w:p>
    <w:p w14:paraId="1295F1B9" w14:textId="22B84D4F" w:rsidR="000C7696" w:rsidRDefault="000C7696" w:rsidP="000C7696">
      <w:pPr>
        <w:pStyle w:val="ListParagraph"/>
        <w:numPr>
          <w:ilvl w:val="0"/>
          <w:numId w:val="1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Connect </w:t>
      </w:r>
      <w:r w:rsidR="00546B5A">
        <w:rPr>
          <w:rFonts w:ascii="Times New Roman" w:hAnsi="Times New Roman" w:cs="Times New Roman"/>
          <w:sz w:val="24"/>
          <w:szCs w:val="24"/>
        </w:rPr>
        <w:t>BMS trouble alert relay in each</w:t>
      </w:r>
      <w:r>
        <w:rPr>
          <w:rFonts w:ascii="Times New Roman" w:hAnsi="Times New Roman" w:cs="Times New Roman"/>
          <w:sz w:val="24"/>
          <w:szCs w:val="24"/>
        </w:rPr>
        <w:t xml:space="preserve"> INS-PV nitrogen purge valve</w:t>
      </w:r>
      <w:r w:rsidR="00546B5A">
        <w:rPr>
          <w:rFonts w:ascii="Times New Roman" w:hAnsi="Times New Roman" w:cs="Times New Roman"/>
          <w:sz w:val="24"/>
          <w:szCs w:val="24"/>
        </w:rPr>
        <w:t xml:space="preserve"> to building management system or trouble zone of fire panel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FE2A5" w14:textId="77777777" w:rsidR="000C7696" w:rsidRPr="00AB233C" w:rsidRDefault="000C7696" w:rsidP="000C7696">
      <w:pPr>
        <w:spacing w:line="256" w:lineRule="auto"/>
        <w:ind w:left="1080"/>
      </w:pPr>
    </w:p>
    <w:p w14:paraId="09094D9B" w14:textId="77777777" w:rsidR="008479E8" w:rsidRPr="000F5642" w:rsidRDefault="008479E8" w:rsidP="004428C2"/>
    <w:sectPr w:rsidR="008479E8" w:rsidRPr="000F5642" w:rsidSect="002626AC">
      <w:headerReference w:type="default" r:id="rId8"/>
      <w:footerReference w:type="default" r:id="rId9"/>
      <w:pgSz w:w="12240" w:h="15840"/>
      <w:pgMar w:top="60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E58E4" w14:textId="77777777" w:rsidR="00482E71" w:rsidRDefault="00482E71" w:rsidP="00FE33FD">
      <w:r>
        <w:separator/>
      </w:r>
    </w:p>
  </w:endnote>
  <w:endnote w:type="continuationSeparator" w:id="0">
    <w:p w14:paraId="49C656F0" w14:textId="77777777" w:rsidR="00482E71" w:rsidRDefault="00482E71" w:rsidP="00FE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="Times New Roman" w:hAnsiTheme="minorHAnsi" w:cstheme="minorBidi"/>
        <w:color w:val="auto"/>
        <w:sz w:val="22"/>
        <w:szCs w:val="22"/>
      </w:rPr>
      <w:id w:val="285436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Theme="minorHAnsi" w:eastAsia="Times New Roman" w:hAnsiTheme="minorHAnsi" w:cstheme="minorBidi"/>
            <w:color w:val="auto"/>
            <w:sz w:val="22"/>
            <w:szCs w:val="22"/>
          </w:rPr>
          <w:id w:val="2854360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7852DA02" w14:textId="77777777" w:rsidR="001E7FC5" w:rsidRDefault="00482E71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8FAE7B1">
                <v:rect id="_x0000_i1027" style="width:540pt;height:.5pt;mso-position-vertical:absolute" o:hralign="center" o:hrstd="t" o:hrnoshade="t" o:hr="t" fillcolor="red" stroked="f"/>
              </w:pict>
            </w:r>
          </w:p>
          <w:p w14:paraId="1D82818E" w14:textId="77777777" w:rsidR="001E7FC5" w:rsidRDefault="00482E71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6"/>
                <w:szCs w:val="16"/>
              </w:rPr>
              <w:pict w14:anchorId="2C97582E">
                <v:rect id="_x0000_i1028" style="width:540pt;height:.5pt;mso-position-vertical:absolute" o:hralign="center" o:hrstd="t" o:hrnoshade="t" o:hr="t" fillcolor="red" stroked="f"/>
              </w:pict>
            </w:r>
          </w:p>
          <w:p w14:paraId="32B0DDC2" w14:textId="77777777" w:rsidR="001E7FC5" w:rsidRDefault="001E7FC5" w:rsidP="0082731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20" w:line="240" w:lineRule="auto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Potter Electric Signal Company, LLC   •   St. Louis, MO   •   Phone: 800-325-3936   •   </w:t>
            </w:r>
            <w:r w:rsidRPr="00DA59BB">
              <w:rPr>
                <w:rFonts w:ascii="Times New Roman" w:hAnsi="Times New Roman" w:cs="Times New Roman"/>
                <w:sz w:val="17"/>
                <w:szCs w:val="17"/>
              </w:rPr>
              <w:t>www.pottersignal.com</w:t>
            </w:r>
          </w:p>
          <w:p w14:paraId="463825A8" w14:textId="77777777" w:rsidR="001E7FC5" w:rsidRDefault="00482E71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51EAAB6">
                <v:rect id="_x0000_i1029" style="width:540pt;height:.5pt;mso-position-vertical:absolute" o:hralign="center" o:hrstd="t" o:hrnoshade="t" o:hr="t" fillcolor="red" stroked="f"/>
              </w:pict>
            </w:r>
          </w:p>
          <w:p w14:paraId="73097120" w14:textId="77777777" w:rsidR="001E7FC5" w:rsidRDefault="00482E71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6"/>
                <w:szCs w:val="16"/>
              </w:rPr>
              <w:pict w14:anchorId="4487E554">
                <v:rect id="_x0000_i1030" style="width:540pt;height:.5pt" o:hralign="center" o:hrstd="t" o:hrnoshade="t" o:hr="t" fillcolor="red" stroked="f"/>
              </w:pict>
            </w:r>
          </w:p>
          <w:p w14:paraId="4C45C353" w14:textId="506DD246" w:rsidR="001E7FC5" w:rsidRPr="001E38D0" w:rsidRDefault="001E7FC5" w:rsidP="001E38D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         8910673-REV </w:t>
            </w:r>
            <w:r w:rsidR="008628DB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628D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</w:t>
            </w:r>
            <w:r w:rsidR="004428C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1E38D0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0064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PAGE </w:instrText>
            </w:r>
            <w:r w:rsidR="00F0064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0F5642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F0064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OF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0064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NUMPAGES  </w:instrText>
            </w:r>
            <w:r w:rsidR="00F0064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0F5642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2</w:t>
            </w:r>
            <w:r w:rsidR="00F0064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14:paraId="2B6313CE" w14:textId="77777777" w:rsidR="001E7FC5" w:rsidRPr="001E38D0" w:rsidRDefault="00482E71" w:rsidP="001E38D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0FF1E" w14:textId="77777777" w:rsidR="00482E71" w:rsidRDefault="00482E71" w:rsidP="00FE33FD">
      <w:r>
        <w:separator/>
      </w:r>
    </w:p>
  </w:footnote>
  <w:footnote w:type="continuationSeparator" w:id="0">
    <w:p w14:paraId="41D00DF5" w14:textId="77777777" w:rsidR="00482E71" w:rsidRDefault="00482E71" w:rsidP="00FE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E34C" w14:textId="7E8E9465" w:rsidR="001E7FC5" w:rsidRPr="00DB6B9B" w:rsidRDefault="00517AF5" w:rsidP="00BB5D0C">
    <w:pPr>
      <w:pStyle w:val="Header"/>
      <w:rPr>
        <w:sz w:val="16"/>
        <w:szCs w:val="16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62CDF" wp14:editId="2C9F83C3">
              <wp:simplePos x="0" y="0"/>
              <wp:positionH relativeFrom="column">
                <wp:posOffset>4051300</wp:posOffset>
              </wp:positionH>
              <wp:positionV relativeFrom="paragraph">
                <wp:posOffset>0</wp:posOffset>
              </wp:positionV>
              <wp:extent cx="279400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59FDC" w14:textId="77777777" w:rsidR="001E7FC5" w:rsidRDefault="001E7FC5" w:rsidP="00A2464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INS Series</w:t>
                          </w:r>
                        </w:p>
                        <w:p w14:paraId="37827451" w14:textId="77777777" w:rsidR="001E7FC5" w:rsidRPr="00A2464F" w:rsidRDefault="001E7FC5" w:rsidP="00A2464F">
                          <w:pPr>
                            <w:jc w:val="right"/>
                            <w:rPr>
                              <w:rFonts w:ascii="Georgia" w:hAnsi="Georgia"/>
                              <w:i/>
                            </w:rPr>
                          </w:pPr>
                          <w:r w:rsidRPr="00A2464F">
                            <w:rPr>
                              <w:rFonts w:ascii="Georgia" w:hAnsi="Georgia"/>
                              <w:i/>
                            </w:rPr>
                            <w:t>Engineering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62C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pt;margin-top:0;width:22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" filled="f" stroked="f">
              <v:textbox>
                <w:txbxContent>
                  <w:p w14:paraId="2C759FDC" w14:textId="77777777" w:rsidR="001E7FC5" w:rsidRDefault="001E7FC5" w:rsidP="00A2464F">
                    <w:pPr>
                      <w:jc w:val="right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INS Series</w:t>
                    </w:r>
                  </w:p>
                  <w:p w14:paraId="37827451" w14:textId="77777777" w:rsidR="001E7FC5" w:rsidRPr="00A2464F" w:rsidRDefault="001E7FC5" w:rsidP="00A2464F">
                    <w:pPr>
                      <w:jc w:val="right"/>
                      <w:rPr>
                        <w:rFonts w:ascii="Georgia" w:hAnsi="Georgia"/>
                        <w:i/>
                      </w:rPr>
                    </w:pPr>
                    <w:r w:rsidRPr="00A2464F">
                      <w:rPr>
                        <w:rFonts w:ascii="Georgia" w:hAnsi="Georgia"/>
                        <w:i/>
                      </w:rPr>
                      <w:t>Engineering Specifications</w:t>
                    </w:r>
                  </w:p>
                </w:txbxContent>
              </v:textbox>
            </v:shape>
          </w:pict>
        </mc:Fallback>
      </mc:AlternateContent>
    </w:r>
    <w:r w:rsidR="001E7FC5">
      <w:rPr>
        <w:noProof/>
      </w:rPr>
      <w:drawing>
        <wp:inline distT="0" distB="0" distL="0" distR="0" wp14:anchorId="4EB45F1F" wp14:editId="78B208B1">
          <wp:extent cx="2419350" cy="600075"/>
          <wp:effectExtent l="19050" t="0" r="0" b="0"/>
          <wp:docPr id="11" name="Picture 11" descr="J:\Branding\Logos\Potter\Potter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J:\Branding\Logos\Potter\Potter Log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2E71">
      <w:rPr>
        <w:sz w:val="16"/>
        <w:szCs w:val="16"/>
      </w:rPr>
      <w:pict w14:anchorId="610465BC">
        <v:rect id="_x0000_i1025" style="width:540pt;height:.5pt" o:hralign="center" o:hrstd="t" o:hrnoshade="t" o:hr="t" fillcolor="red" stroked="f"/>
      </w:pict>
    </w:r>
  </w:p>
  <w:p w14:paraId="613FB74B" w14:textId="77777777" w:rsidR="001E7FC5" w:rsidRDefault="00482E71" w:rsidP="00827310">
    <w:pPr>
      <w:pStyle w:val="Header"/>
      <w:spacing w:line="50" w:lineRule="exact"/>
    </w:pPr>
    <w:r>
      <w:rPr>
        <w:sz w:val="16"/>
        <w:szCs w:val="16"/>
      </w:rPr>
      <w:pict w14:anchorId="00BFCBD2">
        <v:rect id="_x0000_i1026" style="width:540pt;height:.5pt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93F"/>
    <w:multiLevelType w:val="hybridMultilevel"/>
    <w:tmpl w:val="CF103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33B5"/>
    <w:multiLevelType w:val="hybridMultilevel"/>
    <w:tmpl w:val="C11AA4D6"/>
    <w:lvl w:ilvl="0" w:tplc="30C0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CA6"/>
    <w:multiLevelType w:val="hybridMultilevel"/>
    <w:tmpl w:val="6672BCAC"/>
    <w:lvl w:ilvl="0" w:tplc="7F9C00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3661D"/>
    <w:multiLevelType w:val="hybridMultilevel"/>
    <w:tmpl w:val="C1243DE0"/>
    <w:lvl w:ilvl="0" w:tplc="8CBC982E">
      <w:start w:val="2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16C6C"/>
    <w:multiLevelType w:val="hybridMultilevel"/>
    <w:tmpl w:val="493CF6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14237"/>
    <w:multiLevelType w:val="hybridMultilevel"/>
    <w:tmpl w:val="E062D1A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F55A4"/>
    <w:multiLevelType w:val="hybridMultilevel"/>
    <w:tmpl w:val="17D801CC"/>
    <w:lvl w:ilvl="0" w:tplc="0CB24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30F9C"/>
    <w:multiLevelType w:val="hybridMultilevel"/>
    <w:tmpl w:val="2C4CAC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D0370D"/>
    <w:multiLevelType w:val="hybridMultilevel"/>
    <w:tmpl w:val="4F76C148"/>
    <w:lvl w:ilvl="0" w:tplc="24703E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A37D6"/>
    <w:multiLevelType w:val="hybridMultilevel"/>
    <w:tmpl w:val="77B0F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2044E4"/>
    <w:multiLevelType w:val="hybridMultilevel"/>
    <w:tmpl w:val="20720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636449"/>
    <w:multiLevelType w:val="hybridMultilevel"/>
    <w:tmpl w:val="BC520C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5BA2A50"/>
    <w:multiLevelType w:val="hybridMultilevel"/>
    <w:tmpl w:val="77B0F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C83386"/>
    <w:multiLevelType w:val="hybridMultilevel"/>
    <w:tmpl w:val="77B0F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12"/>
  </w:num>
  <w:num w:numId="14">
    <w:abstractNumId w:val="13"/>
  </w:num>
  <w:num w:numId="15">
    <w:abstractNumId w:val="1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6"/>
    <w:rsid w:val="00015858"/>
    <w:rsid w:val="00090E7D"/>
    <w:rsid w:val="00094562"/>
    <w:rsid w:val="000C7696"/>
    <w:rsid w:val="000F190A"/>
    <w:rsid w:val="000F5642"/>
    <w:rsid w:val="000F773B"/>
    <w:rsid w:val="0013336C"/>
    <w:rsid w:val="0017056E"/>
    <w:rsid w:val="001710CC"/>
    <w:rsid w:val="0018172E"/>
    <w:rsid w:val="001E38D0"/>
    <w:rsid w:val="001E6E76"/>
    <w:rsid w:val="001E6ED2"/>
    <w:rsid w:val="001E7FC5"/>
    <w:rsid w:val="00234B18"/>
    <w:rsid w:val="00235F67"/>
    <w:rsid w:val="002626AC"/>
    <w:rsid w:val="00280D82"/>
    <w:rsid w:val="002950E5"/>
    <w:rsid w:val="002D7D70"/>
    <w:rsid w:val="00331B15"/>
    <w:rsid w:val="003511D4"/>
    <w:rsid w:val="003A6EA0"/>
    <w:rsid w:val="003C721D"/>
    <w:rsid w:val="0042488C"/>
    <w:rsid w:val="004428C2"/>
    <w:rsid w:val="00482E71"/>
    <w:rsid w:val="004A60F0"/>
    <w:rsid w:val="004B4857"/>
    <w:rsid w:val="00517AF5"/>
    <w:rsid w:val="00524211"/>
    <w:rsid w:val="00546B5A"/>
    <w:rsid w:val="00574CFD"/>
    <w:rsid w:val="00593FC7"/>
    <w:rsid w:val="005C14AA"/>
    <w:rsid w:val="005D4159"/>
    <w:rsid w:val="005E12E5"/>
    <w:rsid w:val="005E673D"/>
    <w:rsid w:val="00693C72"/>
    <w:rsid w:val="006A3EA9"/>
    <w:rsid w:val="006D7126"/>
    <w:rsid w:val="007213DC"/>
    <w:rsid w:val="007872A1"/>
    <w:rsid w:val="00820D19"/>
    <w:rsid w:val="00827310"/>
    <w:rsid w:val="008479E8"/>
    <w:rsid w:val="008554C8"/>
    <w:rsid w:val="008628DB"/>
    <w:rsid w:val="008B5663"/>
    <w:rsid w:val="00925A98"/>
    <w:rsid w:val="00957C52"/>
    <w:rsid w:val="00963039"/>
    <w:rsid w:val="00984FC1"/>
    <w:rsid w:val="00997CED"/>
    <w:rsid w:val="009C419C"/>
    <w:rsid w:val="009C75D0"/>
    <w:rsid w:val="009E6C2B"/>
    <w:rsid w:val="009F5FE3"/>
    <w:rsid w:val="00A2464F"/>
    <w:rsid w:val="00A36399"/>
    <w:rsid w:val="00A54C03"/>
    <w:rsid w:val="00A560A6"/>
    <w:rsid w:val="00A61A73"/>
    <w:rsid w:val="00A671FE"/>
    <w:rsid w:val="00A920B3"/>
    <w:rsid w:val="00AB233C"/>
    <w:rsid w:val="00B45394"/>
    <w:rsid w:val="00B50B1A"/>
    <w:rsid w:val="00B64D19"/>
    <w:rsid w:val="00B94955"/>
    <w:rsid w:val="00BA509E"/>
    <w:rsid w:val="00BB5D0C"/>
    <w:rsid w:val="00C67D2C"/>
    <w:rsid w:val="00C910D6"/>
    <w:rsid w:val="00CA63B9"/>
    <w:rsid w:val="00CE7C94"/>
    <w:rsid w:val="00D11703"/>
    <w:rsid w:val="00D11E21"/>
    <w:rsid w:val="00D3046A"/>
    <w:rsid w:val="00D30E80"/>
    <w:rsid w:val="00DA59BB"/>
    <w:rsid w:val="00DB6B9B"/>
    <w:rsid w:val="00E058DF"/>
    <w:rsid w:val="00E1469B"/>
    <w:rsid w:val="00E1542F"/>
    <w:rsid w:val="00E84F67"/>
    <w:rsid w:val="00E91530"/>
    <w:rsid w:val="00EC559D"/>
    <w:rsid w:val="00F00646"/>
    <w:rsid w:val="00F4056F"/>
    <w:rsid w:val="00F628D1"/>
    <w:rsid w:val="00FA7D43"/>
    <w:rsid w:val="00FB24A3"/>
    <w:rsid w:val="00FE33FD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DF020"/>
  <w15:docId w15:val="{256EDBE9-0EEA-4F5E-A0BC-118D37F1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3FD"/>
  </w:style>
  <w:style w:type="paragraph" w:styleId="Footer">
    <w:name w:val="footer"/>
    <w:basedOn w:val="Normal"/>
    <w:link w:val="FooterChar"/>
    <w:uiPriority w:val="99"/>
    <w:unhideWhenUsed/>
    <w:rsid w:val="00FE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FD"/>
  </w:style>
  <w:style w:type="paragraph" w:styleId="BalloonText">
    <w:name w:val="Balloon Text"/>
    <w:basedOn w:val="Normal"/>
    <w:link w:val="BalloonTextChar"/>
    <w:uiPriority w:val="99"/>
    <w:semiHidden/>
    <w:unhideWhenUsed/>
    <w:rsid w:val="00FE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663"/>
    <w:rPr>
      <w:color w:val="0000FF" w:themeColor="hyperlink"/>
      <w:u w:val="single"/>
    </w:rPr>
  </w:style>
  <w:style w:type="paragraph" w:customStyle="1" w:styleId="NoParagraphStyle">
    <w:name w:val="[No Paragraph Style]"/>
    <w:rsid w:val="008B56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D2C"/>
    <w:pPr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NoSpacing">
    <w:name w:val="No Spacing"/>
    <w:uiPriority w:val="1"/>
    <w:qFormat/>
    <w:rsid w:val="00A560A6"/>
    <w:pPr>
      <w:spacing w:after="0" w:line="240" w:lineRule="auto"/>
    </w:pPr>
    <w:rPr>
      <w:rFonts w:eastAsiaTheme="minorHAnsi"/>
    </w:rPr>
  </w:style>
  <w:style w:type="paragraph" w:styleId="Revision">
    <w:name w:val="Revision"/>
    <w:hidden/>
    <w:uiPriority w:val="99"/>
    <w:semiHidden/>
    <w:rsid w:val="00FB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2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4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iterature%20Updates\Engineering%20Spec%20updates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03073-EB1F-4ECE-9250-5264812F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Template.dotx</Template>
  <TotalTime>380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scottk</dc:creator>
  <cp:lastModifiedBy>Jeff Merwin</cp:lastModifiedBy>
  <cp:revision>11</cp:revision>
  <cp:lastPrinted>2017-01-26T20:29:00Z</cp:lastPrinted>
  <dcterms:created xsi:type="dcterms:W3CDTF">2019-11-25T16:36:00Z</dcterms:created>
  <dcterms:modified xsi:type="dcterms:W3CDTF">2020-03-31T20:29:00Z</dcterms:modified>
</cp:coreProperties>
</file>