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8D1525" w:rsidRDefault="008D1525" w:rsidP="00B82E57">
      <w:pPr>
        <w:spacing w:after="0" w:line="240" w:lineRule="auto"/>
        <w:rPr>
          <w:rFonts w:ascii="Times New Roman" w:hAnsi="Times New Roman" w:cs="Times New Roman"/>
          <w:b/>
        </w:rPr>
      </w:pPr>
      <w:proofErr w:type="spellStart"/>
      <w:r w:rsidRPr="008D1525">
        <w:rPr>
          <w:rFonts w:ascii="Times New Roman" w:hAnsi="Times New Roman" w:cs="Times New Roman"/>
          <w:b/>
        </w:rPr>
        <w:t>W</w:t>
      </w:r>
      <w:r w:rsidR="00696ED0">
        <w:rPr>
          <w:rFonts w:ascii="Times New Roman" w:hAnsi="Times New Roman" w:cs="Times New Roman"/>
          <w:b/>
        </w:rPr>
        <w:t>aterflow</w:t>
      </w:r>
      <w:proofErr w:type="spellEnd"/>
      <w:r w:rsidR="00696ED0">
        <w:rPr>
          <w:rFonts w:ascii="Times New Roman" w:hAnsi="Times New Roman" w:cs="Times New Roman"/>
          <w:b/>
        </w:rPr>
        <w:t xml:space="preserve"> Alarm Pressure Switch f</w:t>
      </w:r>
      <w:r w:rsidRPr="008D1525">
        <w:rPr>
          <w:rFonts w:ascii="Times New Roman" w:hAnsi="Times New Roman" w:cs="Times New Roman"/>
          <w:b/>
        </w:rPr>
        <w:t xml:space="preserve">or </w:t>
      </w:r>
      <w:r w:rsidR="00696ED0">
        <w:rPr>
          <w:rFonts w:ascii="Times New Roman" w:hAnsi="Times New Roman" w:cs="Times New Roman"/>
          <w:b/>
        </w:rPr>
        <w:t>use i</w:t>
      </w:r>
      <w:r w:rsidRPr="008D1525">
        <w:rPr>
          <w:rFonts w:ascii="Times New Roman" w:hAnsi="Times New Roman" w:cs="Times New Roman"/>
          <w:b/>
        </w:rPr>
        <w:t xml:space="preserve">n Hazardous Locations </w:t>
      </w:r>
    </w:p>
    <w:p w:rsidR="008D1525" w:rsidRPr="00D16584" w:rsidRDefault="008D1525" w:rsidP="00B82E57">
      <w:pPr>
        <w:spacing w:after="0" w:line="240" w:lineRule="auto"/>
        <w:rPr>
          <w:rFonts w:ascii="Times New Roman" w:hAnsi="Times New Roman" w:cs="Times New Roman"/>
          <w:b/>
          <w:sz w:val="20"/>
          <w:szCs w:val="20"/>
        </w:rPr>
      </w:pPr>
    </w:p>
    <w:p w:rsidR="008D1525" w:rsidRPr="00D16584" w:rsidRDefault="008D1525">
      <w:pPr>
        <w:rPr>
          <w:rFonts w:ascii="Times New Roman" w:hAnsi="Times New Roman" w:cs="Times New Roman"/>
          <w:sz w:val="20"/>
          <w:szCs w:val="20"/>
        </w:rPr>
      </w:pPr>
      <w:r w:rsidRPr="00D16584">
        <w:rPr>
          <w:rFonts w:ascii="Times New Roman" w:hAnsi="Times New Roman" w:cs="Times New Roman"/>
          <w:sz w:val="20"/>
          <w:szCs w:val="20"/>
        </w:rPr>
        <w:t xml:space="preserve">UL, CUL Listed / FM, </w:t>
      </w:r>
      <w:proofErr w:type="spellStart"/>
      <w:r w:rsidRPr="00D16584">
        <w:rPr>
          <w:rFonts w:ascii="Times New Roman" w:hAnsi="Times New Roman" w:cs="Times New Roman"/>
          <w:sz w:val="20"/>
          <w:szCs w:val="20"/>
        </w:rPr>
        <w:t>Atex</w:t>
      </w:r>
      <w:proofErr w:type="spellEnd"/>
      <w:r w:rsidRPr="00D16584">
        <w:rPr>
          <w:rFonts w:ascii="Times New Roman" w:hAnsi="Times New Roman" w:cs="Times New Roman"/>
          <w:sz w:val="20"/>
          <w:szCs w:val="20"/>
        </w:rPr>
        <w:t xml:space="preserve"> Approved and CE Marked pressure type </w:t>
      </w:r>
      <w:proofErr w:type="spellStart"/>
      <w:r w:rsidRPr="00D16584">
        <w:rPr>
          <w:rFonts w:ascii="Times New Roman" w:hAnsi="Times New Roman" w:cs="Times New Roman"/>
          <w:sz w:val="20"/>
          <w:szCs w:val="20"/>
        </w:rPr>
        <w:t>waterflow</w:t>
      </w:r>
      <w:proofErr w:type="spellEnd"/>
      <w:r w:rsidRPr="00D16584">
        <w:rPr>
          <w:rFonts w:ascii="Times New Roman" w:hAnsi="Times New Roman" w:cs="Times New Roman"/>
          <w:sz w:val="20"/>
          <w:szCs w:val="20"/>
        </w:rPr>
        <w:t xml:space="preserve"> switches shall be furnished and installed on the alarm port of each dry pipe valve, on top of or downstream of each retard chamber on each alarm check valve, on the alarm port of each alarm check valve of each excess pressure system, the alarm port of each </w:t>
      </w:r>
      <w:proofErr w:type="spellStart"/>
      <w:r w:rsidRPr="00D16584">
        <w:rPr>
          <w:rFonts w:ascii="Times New Roman" w:hAnsi="Times New Roman" w:cs="Times New Roman"/>
          <w:sz w:val="20"/>
          <w:szCs w:val="20"/>
        </w:rPr>
        <w:t>preaction</w:t>
      </w:r>
      <w:proofErr w:type="spellEnd"/>
      <w:r w:rsidRPr="00D16584">
        <w:rPr>
          <w:rFonts w:ascii="Times New Roman" w:hAnsi="Times New Roman" w:cs="Times New Roman"/>
          <w:sz w:val="20"/>
          <w:szCs w:val="20"/>
        </w:rPr>
        <w:t xml:space="preserve"> system </w:t>
      </w:r>
      <w:r w:rsidR="0063129E" w:rsidRPr="003D3F13">
        <w:rPr>
          <w:rFonts w:ascii="Times New Roman" w:hAnsi="Times New Roman" w:cs="Times New Roman"/>
          <w:sz w:val="20"/>
          <w:szCs w:val="20"/>
        </w:rPr>
        <w:t>located in areas classified as hazardous</w:t>
      </w:r>
      <w:r w:rsidR="0063129E">
        <w:rPr>
          <w:rFonts w:ascii="Times New Roman" w:hAnsi="Times New Roman" w:cs="Times New Roman"/>
          <w:sz w:val="20"/>
          <w:szCs w:val="20"/>
        </w:rPr>
        <w:t xml:space="preserve"> </w:t>
      </w:r>
      <w:r w:rsidRPr="00D16584">
        <w:rPr>
          <w:rFonts w:ascii="Times New Roman" w:hAnsi="Times New Roman" w:cs="Times New Roman"/>
          <w:sz w:val="20"/>
          <w:szCs w:val="20"/>
        </w:rPr>
        <w:t xml:space="preserve">and where indicated on the drawings and plans and as required by applicable local and national codes and standards. </w:t>
      </w:r>
    </w:p>
    <w:p w:rsidR="008D1525" w:rsidRPr="00D16584" w:rsidRDefault="008D1525">
      <w:pPr>
        <w:rPr>
          <w:rFonts w:ascii="Times New Roman" w:hAnsi="Times New Roman" w:cs="Times New Roman"/>
          <w:sz w:val="20"/>
          <w:szCs w:val="20"/>
        </w:rPr>
      </w:pPr>
      <w:r w:rsidRPr="00D16584">
        <w:rPr>
          <w:rFonts w:ascii="Times New Roman" w:hAnsi="Times New Roman" w:cs="Times New Roman"/>
          <w:sz w:val="20"/>
          <w:szCs w:val="20"/>
        </w:rPr>
        <w:t xml:space="preserve">Pressure type </w:t>
      </w:r>
      <w:proofErr w:type="spellStart"/>
      <w:r w:rsidRPr="00D16584">
        <w:rPr>
          <w:rFonts w:ascii="Times New Roman" w:hAnsi="Times New Roman" w:cs="Times New Roman"/>
          <w:sz w:val="20"/>
          <w:szCs w:val="20"/>
        </w:rPr>
        <w:t>waterflow</w:t>
      </w:r>
      <w:proofErr w:type="spellEnd"/>
      <w:r w:rsidRPr="00D16584">
        <w:rPr>
          <w:rFonts w:ascii="Times New Roman" w:hAnsi="Times New Roman" w:cs="Times New Roman"/>
          <w:sz w:val="20"/>
          <w:szCs w:val="20"/>
        </w:rPr>
        <w:t xml:space="preserve"> switches shall be diaphragm type devices consisting of a brass ½” NPT male nipple for connection to the sprinkler system, dual non-corrosive pressure chambers and diaphragms, independently adjustable pressure settings, one ½” threaded conduit entrance and two Single Pole Double Throw (SPDT) switches. The device shall be approved f</w:t>
      </w:r>
      <w:r w:rsidRPr="00D16584">
        <w:rPr>
          <w:rFonts w:ascii="Times New Roman" w:hAnsi="Times New Roman" w:cs="Times New Roman"/>
          <w:color w:val="231F20"/>
          <w:sz w:val="20"/>
          <w:szCs w:val="20"/>
        </w:rPr>
        <w:t xml:space="preserve">or use in hazardous locations classified as </w:t>
      </w:r>
      <w:proofErr w:type="spellStart"/>
      <w:r w:rsidRPr="00D16584">
        <w:rPr>
          <w:rFonts w:ascii="Times New Roman" w:hAnsi="Times New Roman" w:cs="Times New Roman"/>
          <w:color w:val="231F20"/>
          <w:sz w:val="20"/>
          <w:szCs w:val="20"/>
        </w:rPr>
        <w:t>EEx</w:t>
      </w:r>
      <w:proofErr w:type="spellEnd"/>
      <w:r w:rsidRPr="00D16584">
        <w:rPr>
          <w:rFonts w:ascii="Times New Roman" w:hAnsi="Times New Roman" w:cs="Times New Roman"/>
          <w:color w:val="231F20"/>
          <w:sz w:val="20"/>
          <w:szCs w:val="20"/>
        </w:rPr>
        <w:t xml:space="preserve"> d IIB T6, (Class I: Groups B, C, D, Div. 1 and 2, Class II: Groups E, F, G, Div. 1 and 2, Class III: Div. 1 and 2). The enclosure shall be IP66 (NEMA 4 and 9)</w:t>
      </w:r>
      <w:r w:rsidRPr="00D16584">
        <w:rPr>
          <w:rFonts w:ascii="Times New Roman" w:hAnsi="Times New Roman" w:cs="Times New Roman"/>
          <w:sz w:val="20"/>
          <w:szCs w:val="20"/>
        </w:rPr>
        <w:t xml:space="preserve"> rated. It shall be possible to install an optional cover tamper switch to detect removal of the enclosure.</w:t>
      </w:r>
    </w:p>
    <w:p w:rsidR="008D1525" w:rsidRPr="00D16584" w:rsidRDefault="008D1525">
      <w:pPr>
        <w:rPr>
          <w:rFonts w:ascii="Times New Roman" w:hAnsi="Times New Roman" w:cs="Times New Roman"/>
          <w:color w:val="231F20"/>
          <w:sz w:val="20"/>
          <w:szCs w:val="20"/>
        </w:rPr>
      </w:pPr>
      <w:bookmarkStart w:id="0" w:name="_GoBack"/>
      <w:bookmarkEnd w:id="0"/>
      <w:r w:rsidRPr="00D16584">
        <w:rPr>
          <w:rFonts w:ascii="Times New Roman" w:hAnsi="Times New Roman" w:cs="Times New Roman"/>
          <w:sz w:val="20"/>
          <w:szCs w:val="20"/>
        </w:rPr>
        <w:t xml:space="preserve">Factory settings shall be 41 </w:t>
      </w:r>
      <w:proofErr w:type="spellStart"/>
      <w:r w:rsidRPr="00D16584">
        <w:rPr>
          <w:rFonts w:ascii="Times New Roman" w:hAnsi="Times New Roman" w:cs="Times New Roman"/>
          <w:sz w:val="20"/>
          <w:szCs w:val="20"/>
        </w:rPr>
        <w:t>kPA</w:t>
      </w:r>
      <w:proofErr w:type="spellEnd"/>
      <w:r w:rsidRPr="00D16584">
        <w:rPr>
          <w:rFonts w:ascii="Times New Roman" w:hAnsi="Times New Roman" w:cs="Times New Roman"/>
          <w:sz w:val="20"/>
          <w:szCs w:val="20"/>
        </w:rPr>
        <w:t xml:space="preserve"> / </w:t>
      </w:r>
      <w:r w:rsidRPr="00D16584">
        <w:rPr>
          <w:rFonts w:ascii="Times New Roman" w:hAnsi="Times New Roman" w:cs="Times New Roman"/>
          <w:color w:val="231F20"/>
          <w:sz w:val="20"/>
          <w:szCs w:val="20"/>
        </w:rPr>
        <w:t>.41 BAR (6 PSI)</w:t>
      </w:r>
      <w:r w:rsidRPr="00D16584">
        <w:rPr>
          <w:rFonts w:ascii="Times New Roman" w:hAnsi="Times New Roman" w:cs="Times New Roman"/>
          <w:sz w:val="20"/>
          <w:szCs w:val="20"/>
        </w:rPr>
        <w:t xml:space="preserve">. The device shall be listed for pressures up to </w:t>
      </w:r>
      <w:r w:rsidRPr="00D16584">
        <w:rPr>
          <w:rFonts w:ascii="Times New Roman" w:hAnsi="Times New Roman" w:cs="Times New Roman"/>
          <w:color w:val="231F20"/>
          <w:sz w:val="20"/>
          <w:szCs w:val="20"/>
        </w:rPr>
        <w:t xml:space="preserve">1724 </w:t>
      </w:r>
      <w:proofErr w:type="spellStart"/>
      <w:r w:rsidRPr="00D16584">
        <w:rPr>
          <w:rFonts w:ascii="Times New Roman" w:hAnsi="Times New Roman" w:cs="Times New Roman"/>
          <w:color w:val="231F20"/>
          <w:sz w:val="20"/>
          <w:szCs w:val="20"/>
        </w:rPr>
        <w:t>kPA</w:t>
      </w:r>
      <w:proofErr w:type="spellEnd"/>
      <w:r w:rsidRPr="00D16584">
        <w:rPr>
          <w:rFonts w:ascii="Times New Roman" w:hAnsi="Times New Roman" w:cs="Times New Roman"/>
          <w:color w:val="231F20"/>
          <w:sz w:val="20"/>
          <w:szCs w:val="20"/>
        </w:rPr>
        <w:t>/17.24 BAR (250 PSI)</w:t>
      </w:r>
      <w:r w:rsidRPr="00D16584">
        <w:rPr>
          <w:rFonts w:ascii="Times New Roman" w:hAnsi="Times New Roman" w:cs="Times New Roman"/>
          <w:sz w:val="20"/>
          <w:szCs w:val="20"/>
        </w:rPr>
        <w:t xml:space="preserve">. The adjustable range shall be </w:t>
      </w:r>
      <w:r w:rsidRPr="00D16584">
        <w:rPr>
          <w:rFonts w:ascii="Times New Roman" w:hAnsi="Times New Roman" w:cs="Times New Roman"/>
          <w:color w:val="231F20"/>
          <w:sz w:val="20"/>
          <w:szCs w:val="20"/>
        </w:rPr>
        <w:t xml:space="preserve">27-137 </w:t>
      </w:r>
      <w:proofErr w:type="spellStart"/>
      <w:r w:rsidRPr="00D16584">
        <w:rPr>
          <w:rFonts w:ascii="Times New Roman" w:hAnsi="Times New Roman" w:cs="Times New Roman"/>
          <w:color w:val="231F20"/>
          <w:sz w:val="20"/>
          <w:szCs w:val="20"/>
        </w:rPr>
        <w:t>kPA</w:t>
      </w:r>
      <w:proofErr w:type="spellEnd"/>
      <w:r w:rsidRPr="00D16584">
        <w:rPr>
          <w:rFonts w:ascii="Times New Roman" w:hAnsi="Times New Roman" w:cs="Times New Roman"/>
          <w:color w:val="231F20"/>
          <w:sz w:val="20"/>
          <w:szCs w:val="20"/>
        </w:rPr>
        <w:t xml:space="preserve"> / .27-1.37 BAR (4-20 PSI)</w:t>
      </w:r>
      <w:r w:rsidRPr="00D16584">
        <w:rPr>
          <w:rFonts w:ascii="Times New Roman" w:hAnsi="Times New Roman" w:cs="Times New Roman"/>
          <w:sz w:val="20"/>
          <w:szCs w:val="20"/>
        </w:rPr>
        <w:t xml:space="preserve"> and it shall be possible to change the factory set operating point of the pressure switch without the use of any tools. It shall be possible to change the pressure setting of either switch without affecting the pressure setting of the other switch. The switch contacts shall be rated at 15A, 125/250VAC and 2A, 30VDC.  </w:t>
      </w:r>
    </w:p>
    <w:p w:rsidR="008479E8" w:rsidRPr="00D16584" w:rsidRDefault="008D1525">
      <w:pPr>
        <w:rPr>
          <w:rFonts w:ascii="Times New Roman" w:hAnsi="Times New Roman" w:cs="Times New Roman"/>
          <w:sz w:val="20"/>
          <w:szCs w:val="20"/>
        </w:rPr>
      </w:pPr>
      <w:r w:rsidRPr="00D16584">
        <w:rPr>
          <w:rFonts w:ascii="Times New Roman" w:hAnsi="Times New Roman" w:cs="Times New Roman"/>
          <w:sz w:val="20"/>
          <w:szCs w:val="20"/>
        </w:rPr>
        <w:t xml:space="preserve">Pressure </w:t>
      </w:r>
      <w:r w:rsidR="000C70B3" w:rsidRPr="00D16584">
        <w:rPr>
          <w:rFonts w:ascii="Times New Roman" w:hAnsi="Times New Roman" w:cs="Times New Roman"/>
          <w:sz w:val="20"/>
          <w:szCs w:val="20"/>
        </w:rPr>
        <w:t>S</w:t>
      </w:r>
      <w:r w:rsidRPr="00D16584">
        <w:rPr>
          <w:rFonts w:ascii="Times New Roman" w:hAnsi="Times New Roman" w:cs="Times New Roman"/>
          <w:sz w:val="20"/>
          <w:szCs w:val="20"/>
        </w:rPr>
        <w:t xml:space="preserve">upervisory </w:t>
      </w:r>
      <w:r w:rsidR="000C70B3" w:rsidRPr="00D16584">
        <w:rPr>
          <w:rFonts w:ascii="Times New Roman" w:hAnsi="Times New Roman" w:cs="Times New Roman"/>
          <w:sz w:val="20"/>
          <w:szCs w:val="20"/>
        </w:rPr>
        <w:t>S</w:t>
      </w:r>
      <w:r w:rsidRPr="00D16584">
        <w:rPr>
          <w:rFonts w:ascii="Times New Roman" w:hAnsi="Times New Roman" w:cs="Times New Roman"/>
          <w:sz w:val="20"/>
          <w:szCs w:val="20"/>
        </w:rPr>
        <w:t>witch shall be model PS10-EX manufactured by Potter Electric Signal Company LLC.  All in line valves</w:t>
      </w:r>
      <w:r w:rsidR="003676D2">
        <w:rPr>
          <w:rFonts w:ascii="Times New Roman" w:hAnsi="Times New Roman" w:cs="Times New Roman"/>
          <w:sz w:val="20"/>
          <w:szCs w:val="20"/>
        </w:rPr>
        <w:t xml:space="preserve"> </w:t>
      </w:r>
      <w:r w:rsidR="003676D2" w:rsidRPr="003D3F13">
        <w:rPr>
          <w:rFonts w:ascii="Times New Roman" w:hAnsi="Times New Roman" w:cs="Times New Roman"/>
          <w:sz w:val="20"/>
          <w:szCs w:val="20"/>
        </w:rPr>
        <w:t>that</w:t>
      </w:r>
      <w:r w:rsidR="003676D2" w:rsidRPr="003676D2">
        <w:rPr>
          <w:rFonts w:ascii="Times New Roman" w:hAnsi="Times New Roman" w:cs="Times New Roman"/>
          <w:sz w:val="20"/>
          <w:szCs w:val="20"/>
          <w:u w:val="single"/>
        </w:rPr>
        <w:t xml:space="preserve"> </w:t>
      </w:r>
      <w:r w:rsidR="003676D2" w:rsidRPr="003D3F13">
        <w:rPr>
          <w:rFonts w:ascii="Times New Roman" w:hAnsi="Times New Roman" w:cs="Times New Roman"/>
          <w:sz w:val="20"/>
          <w:szCs w:val="20"/>
        </w:rPr>
        <w:t>can shut off the flow of water to the alarm pressure switch</w:t>
      </w:r>
      <w:r w:rsidRPr="00D16584">
        <w:rPr>
          <w:rFonts w:ascii="Times New Roman" w:hAnsi="Times New Roman" w:cs="Times New Roman"/>
          <w:sz w:val="20"/>
          <w:szCs w:val="20"/>
        </w:rPr>
        <w:t xml:space="preserve"> shall be electrically supervised for their fully open position.</w:t>
      </w:r>
    </w:p>
    <w:sectPr w:rsidR="008479E8" w:rsidRPr="00D16584"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9E" w:rsidRDefault="0063129E" w:rsidP="00FE33FD">
      <w:pPr>
        <w:spacing w:after="0" w:line="240" w:lineRule="auto"/>
      </w:pPr>
      <w:r>
        <w:separator/>
      </w:r>
    </w:p>
  </w:endnote>
  <w:endnote w:type="continuationSeparator" w:id="0">
    <w:p w:rsidR="0063129E" w:rsidRDefault="0063129E"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9E" w:rsidRDefault="00631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63129E" w:rsidRDefault="0003332C"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03332C">
              <w:rPr>
                <w:sz w:val="16"/>
                <w:szCs w:val="16"/>
              </w:rPr>
              <w:pict>
                <v:rect id="_x0000_i1027" style="width:540pt;height:.5pt;mso-position-vertical:absolute" o:hralign="center" o:hrstd="t" o:hrnoshade="t" o:hr="t" fillcolor="red" stroked="f"/>
              </w:pict>
            </w:r>
          </w:p>
          <w:p w:rsidR="0063129E" w:rsidRDefault="0003332C"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03332C">
              <w:rPr>
                <w:sz w:val="16"/>
                <w:szCs w:val="16"/>
              </w:rPr>
              <w:pict>
                <v:rect id="_x0000_i1028" style="width:540pt;height:.5pt;mso-position-vertical:absolute" o:hralign="center" o:hrstd="t" o:hrnoshade="t" o:hr="t" fillcolor="red" stroked="f"/>
              </w:pict>
            </w:r>
          </w:p>
          <w:p w:rsidR="0063129E" w:rsidRDefault="0063129E"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63129E" w:rsidRDefault="0003332C"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03332C">
              <w:rPr>
                <w:sz w:val="16"/>
                <w:szCs w:val="16"/>
              </w:rPr>
              <w:pict>
                <v:rect id="_x0000_i1029" style="width:540pt;height:.5pt;mso-position-vertical:absolute" o:hralign="center" o:hrstd="t" o:hrnoshade="t" o:hr="t" fillcolor="red" stroked="f"/>
              </w:pict>
            </w:r>
          </w:p>
          <w:p w:rsidR="0063129E" w:rsidRDefault="0003332C"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03332C">
              <w:rPr>
                <w:sz w:val="16"/>
                <w:szCs w:val="16"/>
              </w:rPr>
              <w:pict>
                <v:rect id="_x0000_i1030" style="width:540pt;height:.5pt" o:hralign="center" o:hrstd="t" o:hrnoshade="t" o:hr="t" fillcolor="red" stroked="f"/>
              </w:pict>
            </w:r>
          </w:p>
          <w:p w:rsidR="0063129E" w:rsidRPr="001E38D0" w:rsidRDefault="0063129E"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8910655-REV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03332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03332C" w:rsidRPr="001E38D0">
              <w:rPr>
                <w:rFonts w:ascii="Times New Roman" w:hAnsi="Times New Roman" w:cs="Times New Roman"/>
                <w:b/>
                <w:sz w:val="14"/>
                <w:szCs w:val="14"/>
              </w:rPr>
              <w:fldChar w:fldCharType="separate"/>
            </w:r>
            <w:r w:rsidR="0049177B">
              <w:rPr>
                <w:rFonts w:ascii="Times New Roman" w:hAnsi="Times New Roman" w:cs="Times New Roman"/>
                <w:b/>
                <w:noProof/>
                <w:sz w:val="14"/>
                <w:szCs w:val="14"/>
              </w:rPr>
              <w:t>1</w:t>
            </w:r>
            <w:r w:rsidR="0003332C"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03332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03332C" w:rsidRPr="001E38D0">
              <w:rPr>
                <w:rFonts w:ascii="Times New Roman" w:hAnsi="Times New Roman" w:cs="Times New Roman"/>
                <w:b/>
                <w:sz w:val="14"/>
                <w:szCs w:val="14"/>
              </w:rPr>
              <w:fldChar w:fldCharType="separate"/>
            </w:r>
            <w:r w:rsidR="0049177B">
              <w:rPr>
                <w:rFonts w:ascii="Times New Roman" w:hAnsi="Times New Roman" w:cs="Times New Roman"/>
                <w:b/>
                <w:noProof/>
                <w:sz w:val="14"/>
                <w:szCs w:val="14"/>
              </w:rPr>
              <w:t>1</w:t>
            </w:r>
            <w:r w:rsidR="0003332C" w:rsidRPr="001E38D0">
              <w:rPr>
                <w:rFonts w:ascii="Times New Roman" w:hAnsi="Times New Roman" w:cs="Times New Roman"/>
                <w:b/>
                <w:sz w:val="14"/>
                <w:szCs w:val="14"/>
              </w:rPr>
              <w:fldChar w:fldCharType="end"/>
            </w:r>
          </w:p>
          <w:p w:rsidR="0063129E" w:rsidRPr="001E38D0" w:rsidRDefault="0003332C"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9E" w:rsidRDefault="00631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9E" w:rsidRDefault="0063129E" w:rsidP="00FE33FD">
      <w:pPr>
        <w:spacing w:after="0" w:line="240" w:lineRule="auto"/>
      </w:pPr>
      <w:r>
        <w:separator/>
      </w:r>
    </w:p>
  </w:footnote>
  <w:footnote w:type="continuationSeparator" w:id="0">
    <w:p w:rsidR="0063129E" w:rsidRDefault="0063129E"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9E" w:rsidRDefault="006312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9E" w:rsidRPr="00DB6B9B" w:rsidRDefault="0003332C" w:rsidP="00BB5D0C">
    <w:pPr>
      <w:pStyle w:val="Header"/>
      <w:rPr>
        <w:sz w:val="16"/>
        <w:szCs w:val="16"/>
      </w:rPr>
    </w:pPr>
    <w:r w:rsidRPr="0003332C">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63129E" w:rsidRDefault="0063129E" w:rsidP="00A2464F">
                <w:pPr>
                  <w:spacing w:after="0" w:line="240" w:lineRule="auto"/>
                  <w:jc w:val="right"/>
                  <w:rPr>
                    <w:rFonts w:ascii="Arial" w:hAnsi="Arial" w:cs="Arial"/>
                    <w:b/>
                    <w:sz w:val="48"/>
                    <w:szCs w:val="48"/>
                  </w:rPr>
                </w:pPr>
                <w:r>
                  <w:rPr>
                    <w:rFonts w:ascii="Arial" w:hAnsi="Arial" w:cs="Arial"/>
                    <w:b/>
                    <w:sz w:val="48"/>
                    <w:szCs w:val="48"/>
                  </w:rPr>
                  <w:t>PS10-EX Series</w:t>
                </w:r>
              </w:p>
              <w:p w:rsidR="0063129E" w:rsidRPr="00A2464F" w:rsidRDefault="0063129E"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49177B">
      <w:rPr>
        <w:noProof/>
      </w:rPr>
      <w:drawing>
        <wp:inline distT="0" distB="0" distL="0" distR="0">
          <wp:extent cx="2417445" cy="604520"/>
          <wp:effectExtent l="19050" t="0" r="1905"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7445" cy="604520"/>
                  </a:xfrm>
                  <a:prstGeom prst="rect">
                    <a:avLst/>
                  </a:prstGeom>
                  <a:noFill/>
                  <a:ln w="9525">
                    <a:noFill/>
                    <a:miter lim="800000"/>
                    <a:headEnd/>
                    <a:tailEnd/>
                  </a:ln>
                </pic:spPr>
              </pic:pic>
            </a:graphicData>
          </a:graphic>
        </wp:inline>
      </w:drawing>
    </w:r>
    <w:r w:rsidRPr="0003332C">
      <w:rPr>
        <w:sz w:val="16"/>
        <w:szCs w:val="16"/>
      </w:rPr>
      <w:pict>
        <v:rect id="_x0000_i1025" style="width:540pt;height:.5pt" o:hralign="center" o:hrstd="t" o:hrnoshade="t" o:hr="t" fillcolor="red" stroked="f"/>
      </w:pict>
    </w:r>
  </w:p>
  <w:p w:rsidR="0063129E" w:rsidRDefault="0003332C" w:rsidP="00827310">
    <w:pPr>
      <w:pStyle w:val="Header"/>
      <w:spacing w:line="50" w:lineRule="exact"/>
    </w:pPr>
    <w:r w:rsidRPr="0003332C">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9E" w:rsidRDefault="006312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3332C"/>
    <w:rsid w:val="000C70B3"/>
    <w:rsid w:val="000F190A"/>
    <w:rsid w:val="001E38D0"/>
    <w:rsid w:val="002626AC"/>
    <w:rsid w:val="002C2811"/>
    <w:rsid w:val="002D7D70"/>
    <w:rsid w:val="003676D2"/>
    <w:rsid w:val="003D3F13"/>
    <w:rsid w:val="0042488C"/>
    <w:rsid w:val="0049177B"/>
    <w:rsid w:val="00537969"/>
    <w:rsid w:val="005C14AA"/>
    <w:rsid w:val="0063129E"/>
    <w:rsid w:val="00693C72"/>
    <w:rsid w:val="006952B3"/>
    <w:rsid w:val="00696ED0"/>
    <w:rsid w:val="007872A1"/>
    <w:rsid w:val="00827310"/>
    <w:rsid w:val="008479E8"/>
    <w:rsid w:val="008B5663"/>
    <w:rsid w:val="008D1525"/>
    <w:rsid w:val="008F30AF"/>
    <w:rsid w:val="00963039"/>
    <w:rsid w:val="00A2464F"/>
    <w:rsid w:val="00A61A73"/>
    <w:rsid w:val="00B82E57"/>
    <w:rsid w:val="00BB5D0C"/>
    <w:rsid w:val="00C55C4D"/>
    <w:rsid w:val="00D01FAE"/>
    <w:rsid w:val="00D11E21"/>
    <w:rsid w:val="00D16584"/>
    <w:rsid w:val="00D3380E"/>
    <w:rsid w:val="00D523F2"/>
    <w:rsid w:val="00DA59BB"/>
    <w:rsid w:val="00DB6B9B"/>
    <w:rsid w:val="00E1469B"/>
    <w:rsid w:val="00E552C0"/>
    <w:rsid w:val="00E57C6C"/>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DDD90-2E53-469E-85AC-0F04A7F6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9</cp:revision>
  <cp:lastPrinted>2016-11-15T20:34:00Z</cp:lastPrinted>
  <dcterms:created xsi:type="dcterms:W3CDTF">2016-11-15T22:14:00Z</dcterms:created>
  <dcterms:modified xsi:type="dcterms:W3CDTF">2017-04-25T21:12:00Z</dcterms:modified>
</cp:coreProperties>
</file>